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B0" w:rsidRDefault="00C03EB0" w:rsidP="00C03EB0">
      <w:pPr>
        <w:divId w:val="1294796886"/>
        <w:rPr>
          <w:sz w:val="28"/>
          <w:szCs w:val="28"/>
          <w:u w:val="single"/>
        </w:rPr>
      </w:pPr>
      <w:r>
        <w:rPr>
          <w:rStyle w:val="b-headerbuttons"/>
          <w:rFonts w:ascii="Tahoma" w:eastAsia="Times New Roman" w:hAnsi="Tahoma" w:cs="Tahoma"/>
          <w:strike/>
        </w:rPr>
        <w:t>﻿</w:t>
      </w:r>
      <w:r>
        <w:rPr>
          <w:rStyle w:val="b-buttoninner"/>
          <w:rFonts w:ascii="Tahoma" w:eastAsia="Times New Roman" w:hAnsi="Tahoma" w:cs="Tahoma"/>
          <w:strike/>
        </w:rPr>
        <w:t>﻿</w:t>
      </w:r>
      <w:r>
        <w:rPr>
          <w:sz w:val="28"/>
          <w:szCs w:val="28"/>
          <w:u w:val="single"/>
        </w:rPr>
        <w:t xml:space="preserve"> </w:t>
      </w:r>
    </w:p>
    <w:p w:rsidR="00000000" w:rsidRDefault="00C03EB0">
      <w:pPr>
        <w:pStyle w:val="a5"/>
        <w:spacing w:after="0" w:afterAutospacing="0"/>
        <w:jc w:val="right"/>
        <w:divId w:val="232395822"/>
      </w:pPr>
      <w:r>
        <w:rPr>
          <w:sz w:val="28"/>
          <w:szCs w:val="28"/>
          <w:u w:val="single"/>
        </w:rPr>
        <w:t>Приложение № 3</w:t>
      </w:r>
    </w:p>
    <w:p w:rsidR="00000000" w:rsidRDefault="00C03EB0">
      <w:pPr>
        <w:pStyle w:val="a5"/>
        <w:spacing w:after="0" w:afterAutospacing="0"/>
        <w:jc w:val="right"/>
        <w:divId w:val="232395822"/>
      </w:pPr>
    </w:p>
    <w:p w:rsidR="00000000" w:rsidRDefault="00C03EB0">
      <w:pPr>
        <w:pStyle w:val="a5"/>
        <w:spacing w:after="0" w:afterAutospacing="0"/>
        <w:jc w:val="right"/>
        <w:divId w:val="232395822"/>
      </w:pPr>
    </w:p>
    <w:p w:rsidR="00000000" w:rsidRDefault="00C03EB0">
      <w:pPr>
        <w:pStyle w:val="a5"/>
        <w:spacing w:after="0" w:afterAutospacing="0"/>
        <w:jc w:val="right"/>
        <w:divId w:val="232395822"/>
      </w:pPr>
    </w:p>
    <w:p w:rsidR="00000000" w:rsidRDefault="00C03EB0">
      <w:pPr>
        <w:pStyle w:val="a5"/>
        <w:spacing w:after="0" w:afterAutospacing="0"/>
        <w:jc w:val="center"/>
        <w:divId w:val="232395822"/>
      </w:pPr>
      <w:r>
        <w:rPr>
          <w:b/>
          <w:bCs/>
          <w:sz w:val="28"/>
          <w:szCs w:val="28"/>
        </w:rPr>
        <w:t>Коммерческое предложение (</w:t>
      </w:r>
      <w:r>
        <w:rPr>
          <w:b/>
          <w:bCs/>
          <w:i/>
          <w:i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)</w:t>
      </w:r>
    </w:p>
    <w:p w:rsidR="00000000" w:rsidRDefault="00C03EB0">
      <w:pPr>
        <w:pStyle w:val="a5"/>
        <w:spacing w:after="0" w:afterAutospacing="0"/>
        <w:jc w:val="center"/>
        <w:divId w:val="232395822"/>
      </w:pPr>
      <w:r>
        <w:rPr>
          <w:sz w:val="26"/>
          <w:szCs w:val="26"/>
        </w:rPr>
        <w:t>на передачу неисключительных (пользовательск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х) прав на использование </w:t>
      </w:r>
      <w:r>
        <w:rPr>
          <w:sz w:val="26"/>
          <w:szCs w:val="26"/>
        </w:rPr>
        <w:t>информационно-а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алитической системы «Аверс: Библиотека» для управления деятельностью образовательной организации</w:t>
      </w:r>
    </w:p>
    <w:p w:rsidR="00000000" w:rsidRDefault="00C03EB0">
      <w:pPr>
        <w:pStyle w:val="a5"/>
        <w:spacing w:after="0" w:afterAutospacing="0"/>
        <w:jc w:val="center"/>
        <w:divId w:val="232395822"/>
      </w:pP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1"/>
        <w:gridCol w:w="6319"/>
      </w:tblGrid>
      <w:tr w:rsidR="00000000">
        <w:trPr>
          <w:divId w:val="232395822"/>
          <w:tblCellSpacing w:w="0" w:type="dxa"/>
        </w:trPr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jc w:val="center"/>
            </w:pPr>
            <w:r>
              <w:t>Наименование, место нахождени</w:t>
            </w:r>
            <w:r>
              <w:t>я</w:t>
            </w:r>
            <w:r>
              <w:rPr>
                <w:lang w:val="en-US"/>
              </w:rPr>
              <w:t>: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  <w:r>
              <w:t>ООО Центр информационных технологий «Аверс» (ООО ЦИТ «Аверс</w:t>
            </w:r>
            <w:r>
              <w:t>»</w:t>
            </w:r>
            <w:r>
              <w:t>)</w:t>
            </w:r>
          </w:p>
          <w:p w:rsidR="00000000" w:rsidRDefault="00C03EB0">
            <w:pPr>
              <w:pStyle w:val="a5"/>
              <w:jc w:val="center"/>
            </w:pPr>
            <w:r>
              <w:t xml:space="preserve">101000 г. Москва, ул. Лубянский </w:t>
            </w:r>
            <w:r>
              <w:t>проезд, д. 27/1, стр. 1</w:t>
            </w:r>
          </w:p>
        </w:tc>
      </w:tr>
      <w:tr w:rsidR="00000000">
        <w:trPr>
          <w:divId w:val="232395822"/>
          <w:trHeight w:val="885"/>
          <w:tblCellSpacing w:w="0" w:type="dxa"/>
        </w:trPr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jc w:val="center"/>
            </w:pPr>
            <w:r>
              <w:t>Банковские реквизиты: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  <w:r>
              <w:t>Расчетный счет № 407028101383301</w:t>
            </w:r>
            <w:r>
              <w:t>0</w:t>
            </w:r>
            <w:r>
              <w:t>2628 в ПАО Сбербанк, г. Москва,</w:t>
            </w:r>
          </w:p>
          <w:p w:rsidR="00000000" w:rsidRDefault="00C03EB0">
            <w:pPr>
              <w:pStyle w:val="a5"/>
              <w:spacing w:after="0" w:afterAutospacing="0"/>
              <w:jc w:val="center"/>
            </w:pPr>
            <w:r>
              <w:t>Корреспондентск</w:t>
            </w:r>
            <w:r>
              <w:t>и</w:t>
            </w:r>
            <w:r>
              <w:t>й счёт № 3010181040000</w:t>
            </w:r>
            <w:r>
              <w:t>0</w:t>
            </w:r>
            <w:r>
              <w:rPr>
                <w:lang w:val="en-US"/>
              </w:rPr>
              <w:t>000225</w:t>
            </w:r>
            <w:r>
              <w:rPr>
                <w:lang w:val="en-US"/>
              </w:rPr>
              <w:t>,</w:t>
            </w:r>
          </w:p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БИК 04452522</w:t>
            </w:r>
            <w:r>
              <w:rPr>
                <w:lang w:val="en-US"/>
              </w:rPr>
              <w:t>5</w:t>
            </w:r>
          </w:p>
        </w:tc>
      </w:tr>
      <w:tr w:rsidR="00000000">
        <w:trPr>
          <w:divId w:val="232395822"/>
          <w:tblCellSpacing w:w="0" w:type="dxa"/>
        </w:trPr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ИНН, КПП, ОГР</w:t>
            </w:r>
            <w:r>
              <w:rPr>
                <w:lang w:val="en-US"/>
              </w:rPr>
              <w:t>Н</w:t>
            </w:r>
            <w:r>
              <w:t xml:space="preserve"> 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  <w:r>
              <w:rPr>
                <w:lang w:val="en-US"/>
              </w:rPr>
              <w:t>ИНН 7709287765, КПП 770901001</w:t>
            </w:r>
            <w:r>
              <w:rPr>
                <w:lang w:val="en-US"/>
              </w:rPr>
              <w:t>,</w:t>
            </w:r>
          </w:p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ОГРН 102770026138</w:t>
            </w:r>
            <w:r>
              <w:rPr>
                <w:lang w:val="en-US"/>
              </w:rPr>
              <w:t>0</w:t>
            </w:r>
          </w:p>
        </w:tc>
      </w:tr>
    </w:tbl>
    <w:p w:rsidR="00000000" w:rsidRDefault="00C03EB0">
      <w:pPr>
        <w:pStyle w:val="a5"/>
        <w:spacing w:after="0" w:afterAutospacing="0"/>
        <w:divId w:val="232395822"/>
      </w:pPr>
    </w:p>
    <w:p w:rsidR="00000000" w:rsidRDefault="00C03EB0">
      <w:pPr>
        <w:pStyle w:val="a5"/>
        <w:spacing w:after="0" w:afterAutospacing="0"/>
        <w:divId w:val="232395822"/>
      </w:pPr>
      <w:r>
        <w:rPr>
          <w:sz w:val="26"/>
          <w:szCs w:val="26"/>
        </w:rPr>
        <w:t>Настоящим сообщаем Вам, что согласны оказать услуги по передаче неисключительных (пользовательск</w:t>
      </w:r>
      <w:r>
        <w:rPr>
          <w:sz w:val="26"/>
          <w:szCs w:val="26"/>
        </w:rPr>
        <w:t>и</w:t>
      </w:r>
      <w:r>
        <w:rPr>
          <w:sz w:val="26"/>
          <w:szCs w:val="26"/>
        </w:rPr>
        <w:t>х) прав на использование информационно-а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алитической системы «Аверс: Библиотека» на следующих условиях:</w:t>
      </w:r>
    </w:p>
    <w:p w:rsidR="00000000" w:rsidRDefault="00C03EB0">
      <w:pPr>
        <w:pStyle w:val="a5"/>
        <w:spacing w:after="0" w:afterAutospacing="0"/>
        <w:divId w:val="232395822"/>
      </w:pP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091"/>
        <w:gridCol w:w="1993"/>
        <w:gridCol w:w="1532"/>
        <w:gridCol w:w="927"/>
        <w:gridCol w:w="1499"/>
      </w:tblGrid>
      <w:tr w:rsidR="00000000">
        <w:trPr>
          <w:divId w:val="232395822"/>
          <w:trHeight w:val="147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jc w:val="center"/>
            </w:pPr>
            <w:r>
              <w:t>№ п\п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Название программного издели</w:t>
            </w:r>
            <w:r>
              <w:rPr>
                <w:lang w:val="en-US"/>
              </w:rPr>
              <w:t>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 xml:space="preserve">Единица </w:t>
            </w:r>
            <w:r>
              <w:rPr>
                <w:lang w:val="en-US"/>
              </w:rPr>
              <w:t>измерени</w:t>
            </w:r>
            <w:r>
              <w:rPr>
                <w:lang w:val="en-US"/>
              </w:rPr>
              <w:t>я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ind w:left="115"/>
              <w:jc w:val="center"/>
            </w:pPr>
            <w:r>
              <w:rPr>
                <w:lang w:val="en-US"/>
              </w:rPr>
              <w:t>Количеств</w:t>
            </w:r>
            <w:r>
              <w:rPr>
                <w:lang w:val="en-US"/>
              </w:rPr>
              <w:t>о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ind w:left="115"/>
              <w:jc w:val="center"/>
            </w:pPr>
            <w:r>
              <w:rPr>
                <w:lang w:val="en-US"/>
              </w:rPr>
              <w:t>Цена, ру</w:t>
            </w:r>
            <w:r>
              <w:rPr>
                <w:lang w:val="en-US"/>
              </w:rPr>
              <w:t>б</w:t>
            </w:r>
            <w:r>
              <w:t>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Default="00C03EB0">
            <w:pPr>
              <w:pStyle w:val="a5"/>
              <w:ind w:left="115"/>
              <w:jc w:val="center"/>
            </w:pPr>
            <w:r>
              <w:rPr>
                <w:lang w:val="en-US"/>
              </w:rPr>
              <w:t>Стоимость, ру</w:t>
            </w:r>
            <w:r>
              <w:rPr>
                <w:lang w:val="en-US"/>
              </w:rPr>
              <w:t>б</w:t>
            </w:r>
            <w:r>
              <w:t>.</w:t>
            </w:r>
          </w:p>
        </w:tc>
      </w:tr>
      <w:tr w:rsidR="00000000">
        <w:trPr>
          <w:divId w:val="232395822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  <w:r>
              <w:rPr>
                <w:b/>
                <w:bCs/>
              </w:rPr>
              <w:t>Информационно-а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алитическая система (ИАС) «Аверс: Библиотека»</w:t>
            </w:r>
          </w:p>
          <w:p w:rsidR="00000000" w:rsidRDefault="00C03EB0">
            <w:pPr>
              <w:pStyle w:val="a5"/>
              <w:numPr>
                <w:ilvl w:val="0"/>
                <w:numId w:val="1"/>
              </w:numPr>
              <w:spacing w:after="0" w:afterAutospacing="0"/>
            </w:pPr>
            <w:r>
              <w:t xml:space="preserve">инсталляционный пакет программного изделия Модуль «Библиотека», «Модуль «Электронная Библиотека» на электронном носителе – </w:t>
            </w:r>
            <w:r>
              <w:t>1 экз.;</w:t>
            </w:r>
          </w:p>
          <w:p w:rsidR="00000000" w:rsidRDefault="00C03EB0">
            <w:pPr>
              <w:pStyle w:val="a5"/>
              <w:numPr>
                <w:ilvl w:val="0"/>
                <w:numId w:val="1"/>
              </w:numPr>
              <w:spacing w:after="0" w:afterAutospacing="0"/>
            </w:pPr>
            <w:r>
              <w:t>руководство пользователя по работе с программным изделием на бумажном носителе – 1 экз.;</w:t>
            </w:r>
          </w:p>
          <w:p w:rsidR="00000000" w:rsidRDefault="00C03EB0">
            <w:pPr>
              <w:pStyle w:val="a5"/>
              <w:numPr>
                <w:ilvl w:val="0"/>
                <w:numId w:val="1"/>
              </w:numPr>
              <w:spacing w:after="0" w:afterAutospacing="0"/>
            </w:pPr>
            <w:r>
              <w:t>простая пользовательская лицензия – 1 экз.;</w:t>
            </w:r>
          </w:p>
          <w:p w:rsidR="00000000" w:rsidRDefault="00C03EB0">
            <w:pPr>
              <w:pStyle w:val="a5"/>
              <w:numPr>
                <w:ilvl w:val="0"/>
                <w:numId w:val="1"/>
              </w:numPr>
              <w:spacing w:after="0" w:afterAutospacing="0"/>
            </w:pPr>
            <w:r>
              <w:t>штрих-код сканер – 1 экз.;</w:t>
            </w:r>
          </w:p>
          <w:p w:rsidR="00000000" w:rsidRDefault="00C03EB0">
            <w:pPr>
              <w:pStyle w:val="a5"/>
              <w:numPr>
                <w:ilvl w:val="0"/>
                <w:numId w:val="1"/>
              </w:numPr>
              <w:spacing w:after="0" w:afterAutospacing="0"/>
            </w:pPr>
            <w:r>
              <w:t>доступ пользователей к информационно</w:t>
            </w:r>
            <w:r>
              <w:t>-</w:t>
            </w:r>
            <w:r>
              <w:t>методическим ресурсам ИАС.</w:t>
            </w:r>
          </w:p>
          <w:p w:rsidR="00000000" w:rsidRDefault="00C03EB0">
            <w:pPr>
              <w:pStyle w:val="a5"/>
              <w:ind w:left="29"/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</w:pPr>
            <w:r>
              <w:t>Простая пользовательс</w:t>
            </w:r>
            <w:r>
              <w:t>кая лицензия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1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  <w:rPr>
                <w:lang w:val="en-US"/>
              </w:rPr>
            </w:pPr>
          </w:p>
        </w:tc>
      </w:tr>
      <w:tr w:rsidR="00000000">
        <w:trPr>
          <w:divId w:val="232395822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</w:pPr>
            <w:r>
              <w:t>2.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  <w:r>
              <w:rPr>
                <w:b/>
                <w:bCs/>
              </w:rPr>
              <w:t>Дополнительная услуга:</w:t>
            </w:r>
          </w:p>
          <w:p w:rsidR="00000000" w:rsidRDefault="00C03EB0">
            <w:pPr>
              <w:pStyle w:val="a5"/>
              <w:spacing w:after="0" w:afterAutospacing="0"/>
              <w:ind w:left="-29"/>
            </w:pPr>
            <w:r>
              <w:t>Размещение ресурсов Пользователя, не   содержащих персональные данные, на  серверном оборудовании Предприятия, для организации доступа к электронной библиотеке организации через Интернет.</w:t>
            </w:r>
          </w:p>
          <w:p w:rsidR="00000000" w:rsidRDefault="00C03EB0">
            <w:pPr>
              <w:pStyle w:val="a5"/>
              <w:ind w:left="-29"/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</w:p>
          <w:p w:rsidR="00000000" w:rsidRDefault="00C03EB0">
            <w:pPr>
              <w:pStyle w:val="a5"/>
              <w:jc w:val="center"/>
            </w:pPr>
            <w:r>
              <w:t xml:space="preserve">База </w:t>
            </w:r>
            <w:r>
              <w:t>данных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spacing w:after="0" w:afterAutospacing="0"/>
              <w:jc w:val="center"/>
            </w:pPr>
          </w:p>
          <w:p w:rsidR="00000000" w:rsidRDefault="00C03EB0">
            <w:pPr>
              <w:pStyle w:val="a5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C03EB0">
            <w:pPr>
              <w:pStyle w:val="a5"/>
              <w:jc w:val="center"/>
              <w:rPr>
                <w:lang w:val="en-US"/>
              </w:rPr>
            </w:pPr>
          </w:p>
        </w:tc>
      </w:tr>
    </w:tbl>
    <w:p w:rsidR="00000000" w:rsidRDefault="00C03EB0">
      <w:pPr>
        <w:pStyle w:val="a5"/>
        <w:spacing w:after="0" w:afterAutospacing="0"/>
        <w:divId w:val="232395822"/>
      </w:pPr>
    </w:p>
    <w:p w:rsidR="00000000" w:rsidRDefault="00C03EB0">
      <w:pPr>
        <w:pStyle w:val="a5"/>
        <w:spacing w:after="0" w:afterAutospacing="0"/>
        <w:divId w:val="232395822"/>
      </w:pPr>
      <w:r>
        <w:rPr>
          <w:sz w:val="26"/>
          <w:szCs w:val="26"/>
        </w:rPr>
        <w:t>Простая пользовательская лицензия на право использования программного изделия предоставляется Заказчику без ограничения числа подключаемых пользователей и с неограниченным сроком действия.</w:t>
      </w:r>
    </w:p>
    <w:p w:rsidR="00000000" w:rsidRDefault="00C03EB0" w:rsidP="00C03EB0">
      <w:pPr>
        <w:pStyle w:val="a5"/>
        <w:spacing w:after="0" w:afterAutospacing="0"/>
        <w:divId w:val="232395822"/>
      </w:pPr>
      <w:r>
        <w:rPr>
          <w:sz w:val="26"/>
          <w:szCs w:val="26"/>
        </w:rPr>
        <w:t xml:space="preserve">Генеральный директор </w:t>
      </w:r>
      <w:r>
        <w:rPr>
          <w:i/>
          <w:iCs/>
          <w:sz w:val="28"/>
          <w:szCs w:val="28"/>
        </w:rPr>
        <w:t xml:space="preserve">п/п </w:t>
      </w:r>
      <w:r>
        <w:rPr>
          <w:sz w:val="26"/>
          <w:szCs w:val="26"/>
        </w:rPr>
        <w:t>Лозицкий И.Г.</w:t>
      </w:r>
    </w:p>
    <w:p w:rsidR="00000000" w:rsidRDefault="00C03EB0">
      <w:pPr>
        <w:pStyle w:val="a5"/>
        <w:spacing w:after="0" w:afterAutospacing="0"/>
        <w:divId w:val="232395822"/>
      </w:pPr>
      <w:r>
        <w:rPr>
          <w:b/>
          <w:bCs/>
        </w:rPr>
        <w:t>Внимание!!!</w:t>
      </w:r>
      <w:r>
        <w:t xml:space="preserve"> Стоимость системы (изделия) зависит от типа образовательной организации (органа управления образованием, муниципального образования, учреждения) и дополнительных работ (услуг), но в любом случае является договорной и приемлемой для </w:t>
      </w:r>
      <w:r>
        <w:t>заказчика. Также предоставляются значительные скидки на групповые (оптовые) покупки.</w:t>
      </w:r>
    </w:p>
    <w:p w:rsidR="00000000" w:rsidRDefault="00C03EB0">
      <w:pPr>
        <w:pStyle w:val="a5"/>
        <w:spacing w:after="0" w:afterAutospacing="0"/>
        <w:divId w:val="232395822"/>
      </w:pPr>
      <w:r>
        <w:t>Мы готовы принять заявку (в произвольной форме) на заключение соответствующего договора и ответить на вопросы по спецификации, условиям, порядку установки системы и оказан</w:t>
      </w:r>
      <w:r>
        <w:t>ию услуг.</w:t>
      </w:r>
    </w:p>
    <w:p w:rsidR="00000000" w:rsidRDefault="00C03EB0">
      <w:pPr>
        <w:pStyle w:val="a5"/>
        <w:spacing w:after="0" w:afterAutospacing="0"/>
        <w:divId w:val="232395822"/>
      </w:pPr>
      <w:r>
        <w:t>Справки по телефонам: +7 (495) 909-03</w:t>
      </w:r>
      <w:r>
        <w:t>-</w:t>
      </w:r>
      <w:r>
        <w:t xml:space="preserve">60 и по электронной почте: </w:t>
      </w:r>
      <w:r>
        <w:t>(</w:t>
      </w:r>
      <w:r>
        <w:rPr>
          <w:color w:val="0000FF"/>
          <w:u w:val="single"/>
          <w:lang w:val="en-US"/>
        </w:rPr>
        <w:t>offic</w:t>
      </w:r>
      <w:r>
        <w:rPr>
          <w:color w:val="0000FF"/>
          <w:u w:val="single"/>
          <w:lang w:val="en-US"/>
        </w:rPr>
        <w:t>e</w:t>
      </w:r>
      <w:r>
        <w:rPr>
          <w:color w:val="0000FF"/>
          <w:u w:val="single"/>
        </w:rPr>
        <w:t>@</w:t>
      </w:r>
      <w:r>
        <w:rPr>
          <w:color w:val="0000FF"/>
          <w:u w:val="single"/>
          <w:lang w:val="en-US"/>
        </w:rPr>
        <w:t>iicaver</w:t>
      </w:r>
      <w:r>
        <w:rPr>
          <w:color w:val="0000FF"/>
          <w:u w:val="single"/>
          <w:lang w:val="en-US"/>
        </w:rPr>
        <w:t>s</w:t>
      </w:r>
      <w:r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</w:t>
      </w:r>
      <w:r>
        <w:rPr>
          <w:color w:val="0000FF"/>
          <w:u w:val="single"/>
          <w:lang w:val="en-US"/>
        </w:rPr>
        <w:t>u</w:t>
      </w:r>
      <w:r>
        <w:t>). Контактное лицо: Виноградова Марина Игоревна, заместитель начальника отдела маркетинга, тел: +7 (495) 909-03</w:t>
      </w:r>
      <w:r>
        <w:t>-</w:t>
      </w:r>
      <w:r>
        <w:t>60 доб. 366 или по электронной п</w:t>
      </w:r>
      <w:r>
        <w:t xml:space="preserve">очте: </w:t>
      </w:r>
      <w:r>
        <w:t>(</w:t>
      </w:r>
      <w:r>
        <w:rPr>
          <w:color w:val="0000FF"/>
          <w:u w:val="single"/>
          <w:lang w:val="en-US"/>
        </w:rPr>
        <w:t>Vinogradov</w:t>
      </w:r>
      <w:r>
        <w:rPr>
          <w:color w:val="0000FF"/>
          <w:u w:val="single"/>
          <w:lang w:val="en-US"/>
        </w:rPr>
        <w:t>a</w:t>
      </w:r>
      <w:r>
        <w:rPr>
          <w:color w:val="0000FF"/>
          <w:u w:val="single"/>
        </w:rPr>
        <w:t>@</w:t>
      </w:r>
      <w:r>
        <w:rPr>
          <w:color w:val="0000FF"/>
          <w:u w:val="single"/>
          <w:lang w:val="en-US"/>
        </w:rPr>
        <w:t>iicaver</w:t>
      </w:r>
      <w:r>
        <w:rPr>
          <w:color w:val="0000FF"/>
          <w:u w:val="single"/>
          <w:lang w:val="en-US"/>
        </w:rPr>
        <w:t>s</w:t>
      </w:r>
      <w:r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</w:t>
      </w:r>
      <w:r>
        <w:rPr>
          <w:color w:val="0000FF"/>
          <w:u w:val="single"/>
          <w:lang w:val="en-US"/>
        </w:rPr>
        <w:t>u</w:t>
      </w:r>
      <w:r>
        <w:t>).</w:t>
      </w:r>
    </w:p>
    <w:p w:rsidR="00000000" w:rsidRDefault="00C03EB0">
      <w:pPr>
        <w:pStyle w:val="z-1"/>
        <w:divId w:val="930816970"/>
      </w:pPr>
      <w:r>
        <w:t>Конец формы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3E8F"/>
    <w:multiLevelType w:val="multilevel"/>
    <w:tmpl w:val="FC68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705A9"/>
    <w:rsid w:val="008705A9"/>
    <w:rsid w:val="00C0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ap-d-i-104220-4">
    <w:name w:val="yap-d-i-104220-4"/>
    <w:basedOn w:val="a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pPr>
      <w:spacing w:before="100" w:beforeAutospacing="1" w:after="100" w:afterAutospacing="1"/>
    </w:pPr>
  </w:style>
  <w:style w:type="paragraph" w:customStyle="1" w:styleId="yap-buttonexperimentandroid">
    <w:name w:val="yap-button_experiment_android"/>
    <w:basedOn w:val="a"/>
    <w:pPr>
      <w:spacing w:before="100" w:beforeAutospacing="1" w:after="100" w:afterAutospacing="1"/>
    </w:pPr>
  </w:style>
  <w:style w:type="paragraph" w:customStyle="1" w:styleId="yap-buttonexperimentios">
    <w:name w:val="yap-button_experiment_ios"/>
    <w:basedOn w:val="a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pPr>
      <w:spacing w:before="100" w:beforeAutospacing="1" w:after="100" w:afterAutospacing="1"/>
    </w:pPr>
  </w:style>
  <w:style w:type="paragraph" w:customStyle="1" w:styleId="yap-buttonexperimentandroid1">
    <w:name w:val="yap-button_experiment_android1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android2">
    <w:name w:val="yap-button_experiment_android2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ios1">
    <w:name w:val="yap-button_experiment_ios1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yap-adtunetext1">
    <w:name w:val="yap-adtune__text1"/>
    <w:basedOn w:val="a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-headerbuttons">
    <w:name w:val="b-header__buttons"/>
    <w:basedOn w:val="a0"/>
  </w:style>
  <w:style w:type="character" w:customStyle="1" w:styleId="b-button">
    <w:name w:val="b-button"/>
    <w:basedOn w:val="a0"/>
  </w:style>
  <w:style w:type="character" w:customStyle="1" w:styleId="b-buttoninner">
    <w:name w:val="b-button__inner"/>
    <w:basedOn w:val="a0"/>
  </w:style>
  <w:style w:type="character" w:customStyle="1" w:styleId="b-buttontext">
    <w:name w:val="b-button__text"/>
    <w:basedOn w:val="a0"/>
  </w:style>
  <w:style w:type="paragraph" w:customStyle="1" w:styleId="sharetext">
    <w:name w:val="share__text"/>
    <w:basedOn w:val="a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</w:style>
  <w:style w:type="character" w:customStyle="1" w:styleId="b-headertitle">
    <w:name w:val="b-header__title"/>
    <w:basedOn w:val="a0"/>
  </w:style>
  <w:style w:type="paragraph" w:customStyle="1" w:styleId="yap-vk-main2">
    <w:name w:val="yap-vk-main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pPr>
      <w:spacing w:before="100" w:beforeAutospacing="1" w:after="100" w:afterAutospacing="1"/>
    </w:pPr>
  </w:style>
  <w:style w:type="paragraph" w:customStyle="1" w:styleId="yap-buttonexperimentandroid3">
    <w:name w:val="yap-button_experiment_android3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android4">
    <w:name w:val="yap-button_experiment_android4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ios2">
    <w:name w:val="yap-button_experiment_ios2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yap-adtunetext2">
    <w:name w:val="yap-adtune__text2"/>
    <w:basedOn w:val="a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b-pseudo-link">
    <w:name w:val="b-pseudo-link"/>
    <w:basedOn w:val="a0"/>
  </w:style>
  <w:style w:type="paragraph" w:styleId="a6">
    <w:name w:val="Balloon Text"/>
    <w:basedOn w:val="a"/>
    <w:link w:val="a7"/>
    <w:uiPriority w:val="99"/>
    <w:semiHidden/>
    <w:unhideWhenUsed/>
    <w:rsid w:val="00C03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EB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5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Приложение_№3.docx — Просмотр документов</dc:title>
  <dc:creator>Дед</dc:creator>
  <cp:lastModifiedBy>Дед</cp:lastModifiedBy>
  <cp:revision>2</cp:revision>
  <dcterms:created xsi:type="dcterms:W3CDTF">2016-09-17T11:06:00Z</dcterms:created>
  <dcterms:modified xsi:type="dcterms:W3CDTF">2016-09-17T11:06:00Z</dcterms:modified>
</cp:coreProperties>
</file>