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60" w:rsidRPr="00F24260" w:rsidRDefault="00F24260" w:rsidP="00F24260">
      <w:pPr>
        <w:pStyle w:val="2"/>
        <w:spacing w:after="0" w:line="240" w:lineRule="auto"/>
        <w:ind w:firstLine="851"/>
        <w:jc w:val="right"/>
        <w:rPr>
          <w:sz w:val="28"/>
          <w:szCs w:val="28"/>
          <w:lang w:val="ru-RU"/>
        </w:rPr>
      </w:pPr>
      <w:r w:rsidRPr="00F24260">
        <w:rPr>
          <w:sz w:val="28"/>
          <w:szCs w:val="28"/>
          <w:u w:val="single"/>
          <w:lang w:val="ru-RU"/>
        </w:rPr>
        <w:t>Приложение № 1</w:t>
      </w:r>
    </w:p>
    <w:p w:rsidR="00F24260" w:rsidRPr="00F24260" w:rsidRDefault="00F24260" w:rsidP="00F24260">
      <w:pPr>
        <w:pStyle w:val="2"/>
        <w:spacing w:after="0" w:line="240" w:lineRule="auto"/>
        <w:jc w:val="right"/>
        <w:rPr>
          <w:sz w:val="28"/>
          <w:szCs w:val="28"/>
          <w:lang w:val="ru-RU"/>
        </w:rPr>
      </w:pPr>
    </w:p>
    <w:p w:rsidR="00F24260" w:rsidRPr="00F24260" w:rsidRDefault="00F24260" w:rsidP="00F24260">
      <w:pPr>
        <w:pStyle w:val="2"/>
        <w:spacing w:after="0" w:line="240" w:lineRule="auto"/>
        <w:jc w:val="right"/>
        <w:rPr>
          <w:sz w:val="28"/>
          <w:szCs w:val="28"/>
          <w:lang w:val="ru-RU"/>
        </w:rPr>
      </w:pPr>
    </w:p>
    <w:p w:rsidR="00F24260" w:rsidRPr="00F24260" w:rsidRDefault="00F24260" w:rsidP="00F24260">
      <w:pPr>
        <w:pStyle w:val="a3"/>
        <w:tabs>
          <w:tab w:val="center" w:pos="5245"/>
          <w:tab w:val="right" w:pos="10490"/>
        </w:tabs>
        <w:jc w:val="center"/>
        <w:rPr>
          <w:b/>
          <w:sz w:val="28"/>
          <w:szCs w:val="28"/>
        </w:rPr>
      </w:pPr>
      <w:r w:rsidRPr="00F24260">
        <w:rPr>
          <w:b/>
          <w:sz w:val="28"/>
          <w:szCs w:val="28"/>
        </w:rPr>
        <w:t>Краткое описание возможностей системы</w:t>
      </w:r>
    </w:p>
    <w:p w:rsidR="00F24260" w:rsidRPr="00F24260" w:rsidRDefault="00F24260" w:rsidP="00F24260">
      <w:pPr>
        <w:pStyle w:val="a3"/>
        <w:tabs>
          <w:tab w:val="center" w:pos="5245"/>
          <w:tab w:val="right" w:pos="10490"/>
        </w:tabs>
        <w:jc w:val="center"/>
        <w:rPr>
          <w:b/>
          <w:sz w:val="28"/>
          <w:szCs w:val="28"/>
        </w:rPr>
      </w:pP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ИАС «Аверс: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Библиотека» региональная версия системы, обеспечивает: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формирование единой базы книжного учебного и художественного фонда школьных библиотек региона;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организацию заказа учебников для заключения контракта на уровне региона с учетом выделенного финансирования;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анализ излишков и недостатков учебников на уровне региона, муниципалитета и отдельной организации;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получение достоверной информации о полноте обеспечения учебных программ новыми учебниками и учебными пособиями в общеобразовательных организациях;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автоматизированную работу по ведению и подготовке отчетных документов, различных каталогов, планированию и контролю процесса обслуживания читателей;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учет комплектования и контроль качества фондов, как отдельного подразделения образовательной организации, так и образовательного комплекса в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целом;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систематический мониторинг состояния фондов художественной, учебной и другой литературы;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оперативный доступ к достоверным данным о деятельности структурных подразделений библиотеки;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объективный анализ статистических показателей каждого читающего (пользователя) по тематике и количеству востребованной литературы;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подготовку обоснованных заявок на закупку, получение, распределение нужных (востребованных) изданий и учебных материалов;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возможность размещения на сайте организации единого поискового сервиса и обмена информацией с читателями через запросы в режиме «</w:t>
      </w:r>
      <w:r w:rsidRPr="00F24260">
        <w:rPr>
          <w:rStyle w:val="a5"/>
          <w:color w:val="auto"/>
          <w:sz w:val="28"/>
          <w:szCs w:val="28"/>
          <w:u w:val="none"/>
        </w:rPr>
        <w:t>on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</w:rPr>
        <w:t>line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»;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lastRenderedPageBreak/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предоставление свободного, легитимного, неограниченного доступа к</w:t>
      </w:r>
      <w:r w:rsidRPr="00F24260">
        <w:rPr>
          <w:rStyle w:val="a5"/>
          <w:color w:val="auto"/>
          <w:sz w:val="28"/>
          <w:szCs w:val="28"/>
          <w:u w:val="none"/>
        </w:rPr>
        <w:t> 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информации в виде электронных документов и различных изданий (пособий) через сеть Интернет и мобильное приложение.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Структура программного продукта нацелена на создание системы библиотечного делопроизводства в муниципальных (региональных) учреждениях, обеспечивает удобство пользования и полную информатизацию библиотечного дела, как в одной организации, так и на различных уровнях территориального управления в субъектах федерации с учётом особенностей региона.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ИАС «Аверс: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Библиотека» уникальна и не имеет аналогов, в ней заложены современные программные модули и перспективные технические разработки, ориентированные на дальнейшее развитие функциональных возможностей системы с учётом вероятных изменений федерального (отраслевого) законодательства, особенностей локальных нормативных документов и особых пожеланий заказчика.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Основными преимуществами ИАС «Аверс: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Библиотека» являются: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независима платформа функционирования;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простая установка и эксплуатация для пользователей (специальные знания и опыт в области информатики, вычислительной техники - не требуются);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обслуживание читателей осуществляется с применением технологий штрихового кодирования и идентификации бесконтактных карт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учащихся;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proofErr w:type="gramStart"/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возможность использования на этапе формирования фонда готовых библиографических описаний книг из встроенных каталогов программы (федеральный перечень учебников рекомендованных к</w:t>
      </w:r>
      <w:r w:rsidRPr="00F24260">
        <w:rPr>
          <w:rStyle w:val="a5"/>
          <w:color w:val="auto"/>
          <w:sz w:val="28"/>
          <w:szCs w:val="28"/>
          <w:u w:val="none"/>
        </w:rPr>
        <w:t>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использованию при реализации имеющих государственную аккредитацию образовательных программ начального общего, среднего общего и основного общего образования, каталог учебных электронных изданий по специальностям среднего профессионального образования, каталог художественной литературы, перечень литературы для внеклассного чтения);</w:t>
      </w:r>
      <w:proofErr w:type="gramEnd"/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развитая система формирования аналитических и статистических отчетов (справок) по результатам деятельности, как в одной образовательной организации, так и для образовательного комплекса в целом;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lastRenderedPageBreak/>
        <w:t>-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ab/>
        <w:t>удобное размещение информационных ресурсов в сети Интернет и работа с ними по технологиям «облачных вычислений».</w:t>
      </w:r>
    </w:p>
    <w:p w:rsidR="00F24260" w:rsidRPr="00F24260" w:rsidRDefault="00F24260" w:rsidP="00F24260">
      <w:pPr>
        <w:pStyle w:val="2"/>
        <w:spacing w:after="0" w:line="312" w:lineRule="auto"/>
        <w:ind w:firstLine="851"/>
        <w:jc w:val="both"/>
        <w:rPr>
          <w:sz w:val="28"/>
          <w:szCs w:val="28"/>
          <w:lang w:val="ru-RU"/>
        </w:rPr>
      </w:pPr>
      <w:r w:rsidRPr="00F24260">
        <w:rPr>
          <w:rStyle w:val="a5"/>
          <w:color w:val="auto"/>
          <w:sz w:val="28"/>
          <w:szCs w:val="28"/>
          <w:u w:val="none"/>
          <w:lang w:val="ru-RU"/>
        </w:rPr>
        <w:t>Вместе с тем, в системе предусмотрена возможность подключиться к</w:t>
      </w:r>
      <w:r w:rsidRPr="00F24260">
        <w:rPr>
          <w:rStyle w:val="a5"/>
          <w:color w:val="auto"/>
          <w:sz w:val="28"/>
          <w:szCs w:val="28"/>
          <w:u w:val="none"/>
        </w:rPr>
        <w:t>   </w:t>
      </w:r>
      <w:r w:rsidRPr="00F24260">
        <w:rPr>
          <w:rStyle w:val="a5"/>
          <w:color w:val="auto"/>
          <w:sz w:val="28"/>
          <w:szCs w:val="28"/>
          <w:u w:val="none"/>
          <w:lang w:val="ru-RU"/>
        </w:rPr>
        <w:t>Единой системе учёта контингента обучающихся и унифицировать (систематизировать) образовательный процесс в целом, а также создать муниципальный (региональный) Центр коллективного пользования библиотечным фондом образовательных организаций.</w:t>
      </w:r>
    </w:p>
    <w:p w:rsidR="00F24260" w:rsidRPr="00F24260" w:rsidRDefault="00F24260" w:rsidP="00F2426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</w:p>
    <w:p w:rsidR="00F24260" w:rsidRPr="00F24260" w:rsidRDefault="00F24260" w:rsidP="00F2426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 xml:space="preserve">Справки по телефонам: </w:t>
      </w: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 xml:space="preserve">+7 (495) 909-03-60 </w:t>
      </w: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 xml:space="preserve">и по электронной почте: </w:t>
      </w: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>(</w:t>
      </w:r>
      <w:hyperlink r:id="rId4" w:history="1">
        <w:r w:rsidRPr="00F24260">
          <w:rPr>
            <w:rStyle w:val="a5"/>
            <w:sz w:val="28"/>
            <w:szCs w:val="28"/>
          </w:rPr>
          <w:t>office</w:t>
        </w:r>
        <w:r w:rsidRPr="00F24260">
          <w:rPr>
            <w:rStyle w:val="a5"/>
            <w:sz w:val="28"/>
            <w:szCs w:val="28"/>
            <w:lang w:val="ru-RU"/>
          </w:rPr>
          <w:t>@</w:t>
        </w:r>
        <w:r w:rsidRPr="00F24260">
          <w:rPr>
            <w:rStyle w:val="a5"/>
            <w:sz w:val="28"/>
            <w:szCs w:val="28"/>
          </w:rPr>
          <w:t>iicavers</w:t>
        </w:r>
        <w:r w:rsidRPr="00F24260">
          <w:rPr>
            <w:rStyle w:val="a5"/>
            <w:sz w:val="28"/>
            <w:szCs w:val="28"/>
            <w:lang w:val="ru-RU"/>
          </w:rPr>
          <w:t>.</w:t>
        </w:r>
        <w:r w:rsidRPr="00F24260">
          <w:rPr>
            <w:rStyle w:val="a5"/>
            <w:sz w:val="28"/>
            <w:szCs w:val="28"/>
          </w:rPr>
          <w:t>ru</w:t>
        </w:r>
      </w:hyperlink>
      <w:r w:rsidRPr="00F24260">
        <w:rPr>
          <w:sz w:val="28"/>
          <w:szCs w:val="28"/>
          <w:lang w:val="ru-RU"/>
        </w:rPr>
        <w:t xml:space="preserve">). </w:t>
      </w: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 xml:space="preserve">Контактное лицо: </w:t>
      </w:r>
      <w:r w:rsidRPr="00F24260">
        <w:rPr>
          <w:b/>
          <w:sz w:val="28"/>
          <w:szCs w:val="28"/>
          <w:lang w:val="ru-RU"/>
        </w:rPr>
        <w:t>Виноградова Марина Игоревна</w:t>
      </w:r>
      <w:r w:rsidRPr="00F24260">
        <w:rPr>
          <w:sz w:val="28"/>
          <w:szCs w:val="28"/>
          <w:lang w:val="ru-RU"/>
        </w:rPr>
        <w:t xml:space="preserve">, заместитель начальника отдела маркетинга, </w:t>
      </w:r>
    </w:p>
    <w:p w:rsid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 xml:space="preserve">тел: </w:t>
      </w:r>
      <w:r w:rsidRPr="00F24260">
        <w:rPr>
          <w:b/>
          <w:sz w:val="28"/>
          <w:szCs w:val="28"/>
          <w:lang w:val="ru-RU"/>
        </w:rPr>
        <w:t xml:space="preserve">+7 (495) 909-03-60 </w:t>
      </w:r>
      <w:proofErr w:type="spellStart"/>
      <w:r w:rsidRPr="00F24260">
        <w:rPr>
          <w:b/>
          <w:sz w:val="28"/>
          <w:szCs w:val="28"/>
          <w:lang w:val="ru-RU"/>
        </w:rPr>
        <w:t>доб</w:t>
      </w:r>
      <w:proofErr w:type="spellEnd"/>
      <w:r w:rsidRPr="00F24260">
        <w:rPr>
          <w:b/>
          <w:sz w:val="28"/>
          <w:szCs w:val="28"/>
          <w:lang w:val="ru-RU"/>
        </w:rPr>
        <w:t>. 366</w:t>
      </w:r>
      <w:r w:rsidRPr="00F24260">
        <w:rPr>
          <w:sz w:val="28"/>
          <w:szCs w:val="28"/>
          <w:lang w:val="ru-RU"/>
        </w:rPr>
        <w:t xml:space="preserve"> </w:t>
      </w:r>
    </w:p>
    <w:p w:rsidR="00F24260" w:rsidRPr="00F24260" w:rsidRDefault="00F24260" w:rsidP="00F24260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24260">
        <w:rPr>
          <w:sz w:val="28"/>
          <w:szCs w:val="28"/>
          <w:lang w:val="ru-RU"/>
        </w:rPr>
        <w:t>или по электронной почте: (</w:t>
      </w:r>
      <w:hyperlink r:id="rId5" w:history="1">
        <w:r w:rsidRPr="00F24260">
          <w:rPr>
            <w:rStyle w:val="a5"/>
            <w:sz w:val="28"/>
            <w:szCs w:val="28"/>
          </w:rPr>
          <w:t>Vinogradova</w:t>
        </w:r>
        <w:r w:rsidRPr="00F24260">
          <w:rPr>
            <w:rStyle w:val="a5"/>
            <w:sz w:val="28"/>
            <w:szCs w:val="28"/>
            <w:lang w:val="ru-RU"/>
          </w:rPr>
          <w:t>@</w:t>
        </w:r>
        <w:r w:rsidRPr="00F24260">
          <w:rPr>
            <w:rStyle w:val="a5"/>
            <w:sz w:val="28"/>
            <w:szCs w:val="28"/>
          </w:rPr>
          <w:t>iicavers</w:t>
        </w:r>
        <w:r w:rsidRPr="00F24260">
          <w:rPr>
            <w:rStyle w:val="a5"/>
            <w:sz w:val="28"/>
            <w:szCs w:val="28"/>
            <w:lang w:val="ru-RU"/>
          </w:rPr>
          <w:t>.</w:t>
        </w:r>
        <w:r w:rsidRPr="00F24260">
          <w:rPr>
            <w:rStyle w:val="a5"/>
            <w:sz w:val="28"/>
            <w:szCs w:val="28"/>
          </w:rPr>
          <w:t>ru</w:t>
        </w:r>
      </w:hyperlink>
      <w:r w:rsidRPr="00F24260">
        <w:rPr>
          <w:sz w:val="28"/>
          <w:szCs w:val="28"/>
          <w:lang w:val="ru-RU"/>
        </w:rPr>
        <w:t>).</w:t>
      </w:r>
    </w:p>
    <w:p w:rsidR="00D14196" w:rsidRPr="00F24260" w:rsidRDefault="00D14196">
      <w:pPr>
        <w:rPr>
          <w:lang w:val="ru-RU"/>
        </w:rPr>
      </w:pPr>
    </w:p>
    <w:sectPr w:rsidR="00D14196" w:rsidRPr="00F24260" w:rsidSect="00D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60"/>
    <w:rsid w:val="00D14196"/>
    <w:rsid w:val="00F2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260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F24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24260"/>
    <w:rPr>
      <w:color w:val="0000FF"/>
      <w:u w:val="single"/>
    </w:rPr>
  </w:style>
  <w:style w:type="paragraph" w:styleId="2">
    <w:name w:val="Body Text 2"/>
    <w:basedOn w:val="a"/>
    <w:link w:val="20"/>
    <w:rsid w:val="00F242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2426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ogradova@iicavers.ru" TargetMode="External"/><Relationship Id="rId4" Type="http://schemas.openxmlformats.org/officeDocument/2006/relationships/hyperlink" Target="mailto:office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2016-08-31T15:46:00Z</dcterms:created>
  <dcterms:modified xsi:type="dcterms:W3CDTF">2016-08-31T15:48:00Z</dcterms:modified>
</cp:coreProperties>
</file>